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ayout w:type="fixed"/>
        <w:tblLook w:val="04A0"/>
      </w:tblPr>
      <w:tblGrid>
        <w:gridCol w:w="958"/>
        <w:gridCol w:w="1420"/>
        <w:gridCol w:w="992"/>
        <w:gridCol w:w="1417"/>
        <w:gridCol w:w="1276"/>
        <w:gridCol w:w="567"/>
        <w:gridCol w:w="709"/>
        <w:gridCol w:w="992"/>
        <w:gridCol w:w="848"/>
        <w:gridCol w:w="1843"/>
        <w:gridCol w:w="3152"/>
      </w:tblGrid>
      <w:tr w:rsidR="000A4124" w:rsidRPr="00145709" w:rsidTr="00145709">
        <w:trPr>
          <w:trHeight w:val="1455"/>
        </w:trPr>
        <w:tc>
          <w:tcPr>
            <w:tcW w:w="5000" w:type="pct"/>
            <w:gridSpan w:val="11"/>
            <w:tcBorders>
              <w:top w:val="nil"/>
              <w:left w:val="nil"/>
              <w:bottom w:val="nil"/>
              <w:right w:val="nil"/>
            </w:tcBorders>
            <w:shd w:val="clear" w:color="000000" w:fill="FFFFFF"/>
            <w:vAlign w:val="bottom"/>
            <w:hideMark/>
          </w:tcPr>
          <w:p w:rsidR="000A4124" w:rsidRPr="000A4124" w:rsidRDefault="00145709" w:rsidP="000A4124">
            <w:pPr>
              <w:widowControl/>
              <w:jc w:val="center"/>
              <w:rPr>
                <w:rFonts w:ascii="方正小标宋简体" w:eastAsia="方正小标宋简体" w:hAnsi="Arial" w:cs="Arial"/>
                <w:color w:val="000000"/>
                <w:kern w:val="0"/>
                <w:sz w:val="18"/>
                <w:szCs w:val="18"/>
              </w:rPr>
            </w:pPr>
            <w:r>
              <w:rPr>
                <w:rFonts w:ascii="方正小标宋简体" w:eastAsia="方正小标宋简体" w:hAnsi="Arial" w:cs="Arial" w:hint="eastAsia"/>
                <w:color w:val="000000"/>
                <w:kern w:val="0"/>
                <w:sz w:val="18"/>
                <w:szCs w:val="18"/>
              </w:rPr>
              <w:t>附件：</w:t>
            </w:r>
            <w:r w:rsidR="000A4124" w:rsidRPr="000A4124">
              <w:rPr>
                <w:rFonts w:ascii="方正小标宋简体" w:eastAsia="方正小标宋简体" w:hAnsi="Arial" w:cs="Arial" w:hint="eastAsia"/>
                <w:color w:val="000000"/>
                <w:kern w:val="0"/>
                <w:sz w:val="18"/>
                <w:szCs w:val="18"/>
              </w:rPr>
              <w:t>北京市基本医疗保险、工伤保险和生育保险新增17种国家谈判药品品种、限定支付范围及医保支付标准</w:t>
            </w:r>
          </w:p>
        </w:tc>
      </w:tr>
      <w:tr w:rsidR="00145709" w:rsidRPr="000A4124" w:rsidTr="00145709">
        <w:trPr>
          <w:trHeight w:val="525"/>
        </w:trPr>
        <w:tc>
          <w:tcPr>
            <w:tcW w:w="338"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药品分类代码</w:t>
            </w:r>
          </w:p>
        </w:tc>
        <w:tc>
          <w:tcPr>
            <w:tcW w:w="2000" w:type="pct"/>
            <w:gridSpan w:val="5"/>
            <w:tcBorders>
              <w:top w:val="single" w:sz="4" w:space="0" w:color="auto"/>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center"/>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药品分类</w:t>
            </w:r>
          </w:p>
        </w:tc>
        <w:tc>
          <w:tcPr>
            <w:tcW w:w="250" w:type="pct"/>
            <w:tcBorders>
              <w:top w:val="single" w:sz="4" w:space="0" w:color="auto"/>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编号</w:t>
            </w:r>
          </w:p>
        </w:tc>
        <w:tc>
          <w:tcPr>
            <w:tcW w:w="350" w:type="pct"/>
            <w:tcBorders>
              <w:top w:val="single" w:sz="4" w:space="0" w:color="auto"/>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药品名称</w:t>
            </w:r>
          </w:p>
        </w:tc>
        <w:tc>
          <w:tcPr>
            <w:tcW w:w="299" w:type="pct"/>
            <w:tcBorders>
              <w:top w:val="single" w:sz="4" w:space="0" w:color="auto"/>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剂型</w:t>
            </w:r>
          </w:p>
        </w:tc>
        <w:tc>
          <w:tcPr>
            <w:tcW w:w="650" w:type="pct"/>
            <w:tcBorders>
              <w:top w:val="single" w:sz="4" w:space="0" w:color="auto"/>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医保支付标准</w:t>
            </w:r>
          </w:p>
        </w:tc>
        <w:tc>
          <w:tcPr>
            <w:tcW w:w="1112" w:type="pct"/>
            <w:tcBorders>
              <w:top w:val="single" w:sz="4" w:space="0" w:color="auto"/>
              <w:left w:val="nil"/>
              <w:bottom w:val="single" w:sz="4" w:space="0" w:color="auto"/>
              <w:right w:val="single" w:sz="4" w:space="0" w:color="auto"/>
            </w:tcBorders>
            <w:shd w:val="clear" w:color="000000" w:fill="FFFFFF"/>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限定支付范围</w:t>
            </w:r>
          </w:p>
        </w:tc>
      </w:tr>
      <w:tr w:rsidR="00145709" w:rsidRPr="000A4124" w:rsidTr="00145709">
        <w:trPr>
          <w:trHeight w:val="420"/>
        </w:trPr>
        <w:tc>
          <w:tcPr>
            <w:tcW w:w="338" w:type="pct"/>
            <w:tcBorders>
              <w:top w:val="nil"/>
              <w:left w:val="single" w:sz="4" w:space="0" w:color="auto"/>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w:t>
            </w:r>
          </w:p>
        </w:tc>
        <w:tc>
          <w:tcPr>
            <w:tcW w:w="501"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抗肿瘤药及免疫调节剂</w:t>
            </w:r>
          </w:p>
        </w:tc>
        <w:tc>
          <w:tcPr>
            <w:tcW w:w="35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auto"/>
              <w:right w:val="single" w:sz="4" w:space="0" w:color="auto"/>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auto"/>
              <w:right w:val="single" w:sz="4" w:space="0" w:color="auto"/>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抗肿瘤药</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383"/>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XL01B</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抗代谢药</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383"/>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XL01BC</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嘧啶类似物</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1658"/>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TX32</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阿扎胞苷</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注射剂</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1055元（100mg/支）</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成年患者中1.国际预后评分系统（IPSS）中的中危-2及高危骨髓增生异常综合征（MDS)；2.慢性粒-单核细胞白血病（CMML)；3.按照世界卫生组织（WHO）分类的急性髓系白血病（AML）、骨髓原始细胞为20-30%伴多系发育异常的治疗。</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XL01X</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其他抗肿瘤药</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XL01XC</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单克隆抗体</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TX33</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西妥昔单抗</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注射剂</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1295元（100mg(20ml)/瓶）</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限RAS基因野生型的转移性结直肠癌。</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XL01XE</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蛋白激酶抑制剂</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1485"/>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lastRenderedPageBreak/>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TX34</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阿法替尼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200元（40mg/片);</w:t>
            </w:r>
            <w:r w:rsidRPr="000A4124">
              <w:rPr>
                <w:rFonts w:ascii="仿宋" w:eastAsia="仿宋" w:hAnsi="仿宋" w:cs="Arial" w:hint="eastAsia"/>
                <w:color w:val="000000"/>
                <w:kern w:val="0"/>
                <w:sz w:val="18"/>
                <w:szCs w:val="18"/>
              </w:rPr>
              <w:br/>
              <w:t>160.5元（30mg/片）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1.具有EGFR基因敏感突变的局部晚期或转移性非小细胞肺癌，既往未接受过EGFR-TKI治疗。2.含铂化疗期间或化疗后疾病进展的局部晚期或转移性鳞状组织学类型的非小细胞肺癌。</w:t>
            </w:r>
          </w:p>
        </w:tc>
      </w:tr>
      <w:tr w:rsidR="00145709" w:rsidRPr="000A4124" w:rsidTr="00145709">
        <w:trPr>
          <w:trHeight w:val="1065"/>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TX35</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阿昔替尼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207元（5mg/片);</w:t>
            </w:r>
            <w:r w:rsidRPr="000A4124">
              <w:rPr>
                <w:rFonts w:ascii="仿宋" w:eastAsia="仿宋" w:hAnsi="仿宋" w:cs="Arial" w:hint="eastAsia"/>
                <w:color w:val="000000"/>
                <w:kern w:val="0"/>
                <w:sz w:val="18"/>
                <w:szCs w:val="18"/>
              </w:rPr>
              <w:br/>
              <w:t>60.4元（1mg/片）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限既往接受过一种酪氨酸激酶抑制剂或细胞因子治疗失败的进展期肾细胞癌(RCC)的成人患者。</w:t>
            </w:r>
          </w:p>
        </w:tc>
      </w:tr>
      <w:tr w:rsidR="00145709" w:rsidRPr="000A4124" w:rsidTr="00145709">
        <w:trPr>
          <w:trHeight w:val="1035"/>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TX36</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安罗替尼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487元（12mg/粒);</w:t>
            </w:r>
            <w:r w:rsidRPr="000A4124">
              <w:rPr>
                <w:rFonts w:ascii="仿宋" w:eastAsia="仿宋" w:hAnsi="仿宋" w:cs="Arial" w:hint="eastAsia"/>
                <w:color w:val="000000"/>
                <w:kern w:val="0"/>
                <w:sz w:val="18"/>
                <w:szCs w:val="18"/>
              </w:rPr>
              <w:br/>
              <w:t>423.6元（10mg/粒);</w:t>
            </w:r>
            <w:r w:rsidRPr="000A4124">
              <w:rPr>
                <w:rFonts w:ascii="仿宋" w:eastAsia="仿宋" w:hAnsi="仿宋" w:cs="Arial" w:hint="eastAsia"/>
                <w:color w:val="000000"/>
                <w:kern w:val="0"/>
                <w:sz w:val="18"/>
                <w:szCs w:val="18"/>
              </w:rPr>
              <w:br/>
              <w:t>357元（8mg/粒)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限既往至少接受过2种系统化疗后出现进展或复发的局部晚期或转移性非小细胞肺癌患者。</w:t>
            </w:r>
          </w:p>
        </w:tc>
      </w:tr>
      <w:tr w:rsidR="00145709" w:rsidRPr="000A4124" w:rsidTr="00145709">
        <w:trPr>
          <w:trHeight w:val="1343"/>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TX37</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奥希替尼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510元（80mg/片);</w:t>
            </w:r>
            <w:r w:rsidRPr="000A4124">
              <w:rPr>
                <w:rFonts w:ascii="仿宋" w:eastAsia="仿宋" w:hAnsi="仿宋" w:cs="Arial" w:hint="eastAsia"/>
                <w:color w:val="000000"/>
                <w:kern w:val="0"/>
                <w:sz w:val="18"/>
                <w:szCs w:val="18"/>
              </w:rPr>
              <w:br/>
              <w:t>300元（40mg/片）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限既往因表皮生长因子受体（EGFR）酪氨酸激酶抑制剂（TKI）治疗时或治疗后出现疾病进展，并且经检验确认存在EGFR T790M 突变阳性的局部晚期或转移性非小细胞肺癌成人患者。</w:t>
            </w:r>
          </w:p>
        </w:tc>
      </w:tr>
      <w:tr w:rsidR="00145709" w:rsidRPr="000A4124" w:rsidTr="00145709">
        <w:trPr>
          <w:trHeight w:val="1155"/>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TX38</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克唑替尼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260元（250mg/粒);</w:t>
            </w:r>
            <w:r w:rsidRPr="000A4124">
              <w:rPr>
                <w:rFonts w:ascii="仿宋" w:eastAsia="仿宋" w:hAnsi="仿宋" w:cs="Arial" w:hint="eastAsia"/>
                <w:color w:val="000000"/>
                <w:kern w:val="0"/>
                <w:sz w:val="18"/>
                <w:szCs w:val="18"/>
              </w:rPr>
              <w:br/>
              <w:t>219.2元（200mg/粒）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限间变性淋巴瘤激酶（ALK）阳性的局部晚期或转移性非小细胞肺癌患者或 ROS1阳性的晚期非小细胞肺癌患者。</w:t>
            </w:r>
          </w:p>
        </w:tc>
      </w:tr>
      <w:tr w:rsidR="00145709" w:rsidRPr="000A4124" w:rsidTr="00145709">
        <w:trPr>
          <w:trHeight w:val="156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TX39</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尼洛替尼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94.7元（200mg/粒);</w:t>
            </w:r>
            <w:r w:rsidRPr="000A4124">
              <w:rPr>
                <w:rFonts w:ascii="仿宋" w:eastAsia="仿宋" w:hAnsi="仿宋" w:cs="Arial" w:hint="eastAsia"/>
                <w:color w:val="000000"/>
                <w:kern w:val="0"/>
                <w:sz w:val="18"/>
                <w:szCs w:val="18"/>
              </w:rPr>
              <w:br/>
              <w:t>76元（150mg/粒)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限治疗新诊断的费城染色体阳性的慢性髓性白血病（Ph+ CML）慢性期成人患者，或对既往治疗（包括伊马替尼）耐药或不耐受的费城染色体阳性的慢性髓性白血病（Ph+ CML）慢性期或加</w:t>
            </w:r>
            <w:r w:rsidRPr="000A4124">
              <w:rPr>
                <w:rFonts w:ascii="仿宋" w:eastAsia="仿宋" w:hAnsi="仿宋" w:cs="Arial" w:hint="eastAsia"/>
                <w:color w:val="000000"/>
                <w:kern w:val="0"/>
                <w:sz w:val="18"/>
                <w:szCs w:val="18"/>
              </w:rPr>
              <w:lastRenderedPageBreak/>
              <w:t>速期成人患者。</w:t>
            </w:r>
          </w:p>
        </w:tc>
      </w:tr>
      <w:tr w:rsidR="00145709" w:rsidRPr="000A4124" w:rsidTr="00145709">
        <w:trPr>
          <w:trHeight w:val="743"/>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lastRenderedPageBreak/>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TX40</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培唑帕尼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272元（400mg/片);</w:t>
            </w:r>
            <w:r w:rsidRPr="000A4124">
              <w:rPr>
                <w:rFonts w:ascii="仿宋" w:eastAsia="仿宋" w:hAnsi="仿宋" w:cs="Arial" w:hint="eastAsia"/>
                <w:color w:val="000000"/>
                <w:kern w:val="0"/>
                <w:sz w:val="18"/>
                <w:szCs w:val="18"/>
              </w:rPr>
              <w:br/>
              <w:t>160元（200mg/片)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晚期肾细胞癌患者的一线治疗和曾经接受过细胞因子治疗的晚期肾细胞癌的治疗。</w:t>
            </w:r>
          </w:p>
        </w:tc>
      </w:tr>
      <w:tr w:rsidR="00145709" w:rsidRPr="000A4124" w:rsidTr="00145709">
        <w:trPr>
          <w:trHeight w:val="84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TX41</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瑞戈非尼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196元（40mg/片）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1.肝细胞癌二线治疗；2.转移性结直肠癌三线治疗；3.胃肠道间质瘤三线治疗。</w:t>
            </w:r>
          </w:p>
        </w:tc>
      </w:tr>
      <w:tr w:rsidR="00145709" w:rsidRPr="000A4124" w:rsidTr="00145709">
        <w:trPr>
          <w:trHeight w:val="1185"/>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TX42</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塞瑞替尼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198元（150mg/粒）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接受过克唑替尼治疗后进展的或者对克唑替尼不耐受的间变性淋巴瘤激酶（ALK）阳性局部晚期或转移性非小细胞肺癌（NSCLC）患者。</w:t>
            </w:r>
          </w:p>
        </w:tc>
      </w:tr>
      <w:tr w:rsidR="00145709" w:rsidRPr="000A4124" w:rsidTr="00145709">
        <w:trPr>
          <w:trHeight w:val="1343"/>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TX43</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舒尼替尼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448元（50mg/粒);</w:t>
            </w:r>
            <w:r w:rsidRPr="000A4124">
              <w:rPr>
                <w:rFonts w:ascii="仿宋" w:eastAsia="仿宋" w:hAnsi="仿宋" w:cs="Arial" w:hint="eastAsia"/>
                <w:color w:val="000000"/>
                <w:kern w:val="0"/>
                <w:sz w:val="18"/>
                <w:szCs w:val="18"/>
              </w:rPr>
              <w:br/>
              <w:t>359.4元（37.5mg/粒);</w:t>
            </w:r>
            <w:r w:rsidRPr="000A4124">
              <w:rPr>
                <w:rFonts w:ascii="仿宋" w:eastAsia="仿宋" w:hAnsi="仿宋" w:cs="Arial" w:hint="eastAsia"/>
                <w:color w:val="000000"/>
                <w:kern w:val="0"/>
                <w:sz w:val="18"/>
                <w:szCs w:val="18"/>
              </w:rPr>
              <w:br/>
              <w:t>263.5元（25mg/粒);</w:t>
            </w:r>
            <w:r w:rsidRPr="000A4124">
              <w:rPr>
                <w:rFonts w:ascii="仿宋" w:eastAsia="仿宋" w:hAnsi="仿宋" w:cs="Arial" w:hint="eastAsia"/>
                <w:color w:val="000000"/>
                <w:kern w:val="0"/>
                <w:sz w:val="18"/>
                <w:szCs w:val="18"/>
              </w:rPr>
              <w:br/>
              <w:t>155元（12.5mg/粒)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1.不能手术的晚期肾细胞癌（RCC)；2.甲磺酸伊马替尼治疗失败或不能耐受的胃肠间质瘤（GIST)；3.不可切除的，转移性高分化进展期胰腺神经内分泌瘤（pNET）成人患者。</w:t>
            </w:r>
          </w:p>
        </w:tc>
      </w:tr>
      <w:tr w:rsidR="00145709" w:rsidRPr="000A4124" w:rsidTr="00145709">
        <w:trPr>
          <w:trHeight w:val="93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TX44</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维莫非尼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112元（240mg/片）</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治疗经CFDA批准的检测方法确定的BRAF V600 突变阳性的不可切除或转移性黑色素瘤。</w:t>
            </w:r>
          </w:p>
        </w:tc>
      </w:tr>
      <w:tr w:rsidR="00145709" w:rsidRPr="000A4124" w:rsidTr="00145709">
        <w:trPr>
          <w:trHeight w:val="10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TX45</w:t>
            </w:r>
          </w:p>
        </w:tc>
        <w:tc>
          <w:tcPr>
            <w:tcW w:w="3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伊布替尼</w:t>
            </w:r>
          </w:p>
        </w:tc>
        <w:tc>
          <w:tcPr>
            <w:tcW w:w="299"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noWrap/>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189元（140mg/粒）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1.既往至少接受过一种治疗的套细胞淋巴瘤（MCL）患者的治疗;2.慢性淋巴细胞白血病/小淋巴细胞淋巴瘤</w:t>
            </w:r>
            <w:r w:rsidRPr="000A4124">
              <w:rPr>
                <w:rFonts w:ascii="仿宋" w:eastAsia="仿宋" w:hAnsi="仿宋" w:cs="Arial" w:hint="eastAsia"/>
                <w:color w:val="000000"/>
                <w:kern w:val="0"/>
                <w:sz w:val="18"/>
                <w:szCs w:val="18"/>
              </w:rPr>
              <w:lastRenderedPageBreak/>
              <w:t>（CLL/SLL）患者的治疗。</w:t>
            </w:r>
          </w:p>
        </w:tc>
      </w:tr>
      <w:tr w:rsidR="00145709" w:rsidRPr="000A4124" w:rsidTr="00145709">
        <w:trPr>
          <w:trHeight w:val="42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lastRenderedPageBreak/>
              <w:t>XL01XX</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其他抗肿瘤药</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1298"/>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TX46</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伊沙佐米</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口服常释剂型</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4933元（4mg/粒);</w:t>
            </w:r>
            <w:r w:rsidRPr="000A4124">
              <w:rPr>
                <w:rFonts w:ascii="仿宋" w:eastAsia="仿宋" w:hAnsi="仿宋" w:cs="Arial" w:hint="eastAsia"/>
                <w:color w:val="000000"/>
                <w:kern w:val="0"/>
                <w:sz w:val="18"/>
                <w:szCs w:val="18"/>
              </w:rPr>
              <w:br/>
              <w:t>3957.9元（3mg/粒);</w:t>
            </w:r>
            <w:r w:rsidRPr="000A4124">
              <w:rPr>
                <w:rFonts w:ascii="仿宋" w:eastAsia="仿宋" w:hAnsi="仿宋" w:cs="Arial" w:hint="eastAsia"/>
                <w:color w:val="000000"/>
                <w:kern w:val="0"/>
                <w:sz w:val="18"/>
                <w:szCs w:val="18"/>
              </w:rPr>
              <w:br/>
              <w:t>3229.4元（2.3mg/粒)</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1.每2个疗程需提供治疗有效的证据后方可继续支付;2.由三级医院血液专科或血液专科医院医师处方;3.与来那度胺联合使用时，只支付伊沙佐米或来那度胺中的一种。</w:t>
            </w:r>
          </w:p>
        </w:tc>
      </w:tr>
      <w:tr w:rsidR="00145709" w:rsidRPr="000A4124" w:rsidTr="00145709">
        <w:trPr>
          <w:trHeight w:val="60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乙</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TX47</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培门冬酶</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注射剂</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2980元（5ml:3750IU/支);</w:t>
            </w:r>
            <w:r w:rsidRPr="000A4124">
              <w:rPr>
                <w:rFonts w:ascii="仿宋" w:eastAsia="仿宋" w:hAnsi="仿宋" w:cs="Arial" w:hint="eastAsia"/>
                <w:color w:val="000000"/>
                <w:kern w:val="0"/>
                <w:sz w:val="18"/>
                <w:szCs w:val="18"/>
              </w:rPr>
              <w:br/>
              <w:t>1477.7元（2ml:1500IU/支）</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儿童急性淋巴细胞白血病患者的一线治疗。</w:t>
            </w:r>
          </w:p>
        </w:tc>
      </w:tr>
      <w:tr w:rsidR="00145709" w:rsidRPr="000A4124" w:rsidTr="00145709">
        <w:trPr>
          <w:trHeight w:val="36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XH</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除性激素和胰岛素外的全身激素制剂</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36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XH01</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垂体和下丘脑激素及类似物</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36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XH01C</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下丘脑激素</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36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XH01CB</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抗生长激素</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6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r>
      <w:tr w:rsidR="00145709" w:rsidRPr="000A4124" w:rsidTr="00145709">
        <w:trPr>
          <w:trHeight w:val="600"/>
        </w:trPr>
        <w:tc>
          <w:tcPr>
            <w:tcW w:w="338" w:type="pct"/>
            <w:tcBorders>
              <w:top w:val="nil"/>
              <w:left w:val="single" w:sz="4" w:space="0" w:color="000000"/>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1"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5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4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 xml:space="preserve">　</w:t>
            </w:r>
          </w:p>
        </w:tc>
        <w:tc>
          <w:tcPr>
            <w:tcW w:w="20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甲</w:t>
            </w:r>
          </w:p>
        </w:tc>
        <w:tc>
          <w:tcPr>
            <w:tcW w:w="2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TX48</w:t>
            </w:r>
          </w:p>
        </w:tc>
        <w:tc>
          <w:tcPr>
            <w:tcW w:w="350"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奥曲肽</w:t>
            </w:r>
          </w:p>
        </w:tc>
        <w:tc>
          <w:tcPr>
            <w:tcW w:w="299" w:type="pct"/>
            <w:tcBorders>
              <w:top w:val="nil"/>
              <w:left w:val="nil"/>
              <w:bottom w:val="single" w:sz="4" w:space="0" w:color="000000"/>
              <w:right w:val="single" w:sz="4" w:space="0" w:color="000000"/>
            </w:tcBorders>
            <w:shd w:val="clear" w:color="000000" w:fill="FFFFFF"/>
            <w:noWrap/>
            <w:vAlign w:val="bottom"/>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微球注射剂</w:t>
            </w:r>
          </w:p>
        </w:tc>
        <w:tc>
          <w:tcPr>
            <w:tcW w:w="650"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7911元（30mg/瓶);</w:t>
            </w:r>
            <w:r w:rsidRPr="000A4124">
              <w:rPr>
                <w:rFonts w:ascii="仿宋" w:eastAsia="仿宋" w:hAnsi="仿宋" w:cs="Arial" w:hint="eastAsia"/>
                <w:color w:val="000000"/>
                <w:kern w:val="0"/>
                <w:sz w:val="18"/>
                <w:szCs w:val="18"/>
              </w:rPr>
              <w:br/>
              <w:t>5800元（20mg/瓶)</w:t>
            </w:r>
          </w:p>
        </w:tc>
        <w:tc>
          <w:tcPr>
            <w:tcW w:w="1112" w:type="pct"/>
            <w:tcBorders>
              <w:top w:val="nil"/>
              <w:left w:val="nil"/>
              <w:bottom w:val="single" w:sz="4" w:space="0" w:color="000000"/>
              <w:right w:val="single" w:sz="4" w:space="0" w:color="000000"/>
            </w:tcBorders>
            <w:shd w:val="clear" w:color="000000" w:fill="FFFFFF"/>
            <w:vAlign w:val="center"/>
            <w:hideMark/>
          </w:tcPr>
          <w:p w:rsidR="000A4124" w:rsidRPr="000A4124" w:rsidRDefault="000A4124" w:rsidP="000A4124">
            <w:pPr>
              <w:widowControl/>
              <w:jc w:val="left"/>
              <w:rPr>
                <w:rFonts w:ascii="仿宋" w:eastAsia="仿宋" w:hAnsi="仿宋" w:cs="Arial"/>
                <w:color w:val="000000"/>
                <w:kern w:val="0"/>
                <w:sz w:val="18"/>
                <w:szCs w:val="18"/>
              </w:rPr>
            </w:pPr>
            <w:r w:rsidRPr="000A4124">
              <w:rPr>
                <w:rFonts w:ascii="仿宋" w:eastAsia="仿宋" w:hAnsi="仿宋" w:cs="Arial" w:hint="eastAsia"/>
                <w:color w:val="000000"/>
                <w:kern w:val="0"/>
                <w:sz w:val="18"/>
                <w:szCs w:val="18"/>
              </w:rPr>
              <w:t>胃肠胰内分泌肿瘤、肢端肥大症，按说明书用药。</w:t>
            </w:r>
          </w:p>
        </w:tc>
      </w:tr>
    </w:tbl>
    <w:p w:rsidR="000A4124" w:rsidRPr="000A4124" w:rsidRDefault="000A4124"/>
    <w:sectPr w:rsidR="000A4124" w:rsidRPr="000A4124" w:rsidSect="0014570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48A7" w:rsidRDefault="00B148A7" w:rsidP="00145709">
      <w:r>
        <w:separator/>
      </w:r>
    </w:p>
  </w:endnote>
  <w:endnote w:type="continuationSeparator" w:id="0">
    <w:p w:rsidR="00B148A7" w:rsidRDefault="00B148A7" w:rsidP="001457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48A7" w:rsidRDefault="00B148A7" w:rsidP="00145709">
      <w:r>
        <w:separator/>
      </w:r>
    </w:p>
  </w:footnote>
  <w:footnote w:type="continuationSeparator" w:id="0">
    <w:p w:rsidR="00B148A7" w:rsidRDefault="00B148A7" w:rsidP="001457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A4124"/>
    <w:rsid w:val="000A4124"/>
    <w:rsid w:val="00145709"/>
    <w:rsid w:val="00306B35"/>
    <w:rsid w:val="0038709E"/>
    <w:rsid w:val="009679CD"/>
    <w:rsid w:val="00B148A7"/>
    <w:rsid w:val="00BC69FD"/>
    <w:rsid w:val="00D01E53"/>
    <w:rsid w:val="00D7574F"/>
    <w:rsid w:val="00E74741"/>
    <w:rsid w:val="00EC1FCD"/>
    <w:rsid w:val="00EE3F4A"/>
    <w:rsid w:val="00F12D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D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4124"/>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1457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45709"/>
    <w:rPr>
      <w:sz w:val="18"/>
      <w:szCs w:val="18"/>
    </w:rPr>
  </w:style>
  <w:style w:type="paragraph" w:styleId="a5">
    <w:name w:val="footer"/>
    <w:basedOn w:val="a"/>
    <w:link w:val="Char0"/>
    <w:uiPriority w:val="99"/>
    <w:semiHidden/>
    <w:unhideWhenUsed/>
    <w:rsid w:val="0014570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145709"/>
    <w:rPr>
      <w:sz w:val="18"/>
      <w:szCs w:val="18"/>
    </w:rPr>
  </w:style>
</w:styles>
</file>

<file path=word/webSettings.xml><?xml version="1.0" encoding="utf-8"?>
<w:webSettings xmlns:r="http://schemas.openxmlformats.org/officeDocument/2006/relationships" xmlns:w="http://schemas.openxmlformats.org/wordprocessingml/2006/main">
  <w:divs>
    <w:div w:id="118555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371</Words>
  <Characters>2116</Characters>
  <Application>Microsoft Office Word</Application>
  <DocSecurity>0</DocSecurity>
  <Lines>17</Lines>
  <Paragraphs>4</Paragraphs>
  <ScaleCrop>false</ScaleCrop>
  <Company>CIIC</Company>
  <LinksUpToDate>false</LinksUpToDate>
  <CharactersWithSpaces>2483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chenzhilong</dc:creator>
  <cp:lastModifiedBy>朱小娜</cp:lastModifiedBy>
  <cp:revision>2</cp:revision>
  <dcterms:created xsi:type="dcterms:W3CDTF">2018-11-27T05:36:00Z</dcterms:created>
  <dcterms:modified xsi:type="dcterms:W3CDTF">2018-11-28T07:26:00Z</dcterms:modified>
</cp:coreProperties>
</file>